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Приложение №20</w:t>
      </w:r>
    </w:p>
    <w:p w:rsidR="00B23FEF" w:rsidRPr="00B23FEF" w:rsidRDefault="00B23FEF" w:rsidP="00B23FEF">
      <w:pPr>
        <w:shd w:val="clear" w:color="auto" w:fill="FFFFFF"/>
        <w:spacing w:line="274" w:lineRule="exact"/>
        <w:ind w:left="7"/>
        <w:jc w:val="right"/>
        <w:rPr>
          <w:rFonts w:ascii="Times New Roman" w:hAnsi="Times New Roman" w:cs="Times New Roman"/>
          <w:color w:val="000000"/>
          <w:spacing w:val="10"/>
          <w:sz w:val="24"/>
          <w:szCs w:val="24"/>
        </w:rPr>
      </w:pPr>
      <w:r w:rsidRPr="00B23FEF">
        <w:rPr>
          <w:rFonts w:ascii="Times New Roman" w:hAnsi="Times New Roman" w:cs="Times New Roman"/>
          <w:color w:val="000000"/>
          <w:spacing w:val="10"/>
          <w:sz w:val="24"/>
          <w:szCs w:val="24"/>
        </w:rPr>
        <w:t xml:space="preserve"> к Договору </w:t>
      </w:r>
      <w:proofErr w:type="spellStart"/>
      <w:proofErr w:type="gramStart"/>
      <w:r w:rsidRPr="00B23FEF">
        <w:rPr>
          <w:rFonts w:ascii="Times New Roman" w:hAnsi="Times New Roman" w:cs="Times New Roman"/>
          <w:color w:val="000000"/>
          <w:spacing w:val="10"/>
          <w:sz w:val="24"/>
          <w:szCs w:val="24"/>
        </w:rPr>
        <w:t>от</w:t>
      </w:r>
      <w:proofErr w:type="gramEnd"/>
      <w:r w:rsidRPr="00B23FEF">
        <w:rPr>
          <w:rFonts w:ascii="Times New Roman" w:hAnsi="Times New Roman" w:cs="Times New Roman"/>
          <w:color w:val="000000"/>
          <w:spacing w:val="10"/>
          <w:sz w:val="24"/>
          <w:szCs w:val="24"/>
        </w:rPr>
        <w:t>_______№</w:t>
      </w:r>
      <w:proofErr w:type="spellEnd"/>
      <w:r w:rsidRPr="00B23FEF">
        <w:rPr>
          <w:rFonts w:ascii="Times New Roman" w:hAnsi="Times New Roman" w:cs="Times New Roman"/>
          <w:color w:val="000000"/>
          <w:spacing w:val="10"/>
          <w:sz w:val="24"/>
          <w:szCs w:val="24"/>
        </w:rPr>
        <w:t>______</w:t>
      </w:r>
    </w:p>
    <w:p w:rsidR="00B23FEF" w:rsidRDefault="00B23FEF" w:rsidP="002351DB">
      <w:pPr>
        <w:jc w:val="center"/>
        <w:rPr>
          <w:rFonts w:ascii="Times New Roman" w:hAnsi="Times New Roman" w:cs="Times New Roman"/>
          <w:b/>
          <w:sz w:val="24"/>
          <w:szCs w:val="24"/>
        </w:rPr>
      </w:pPr>
    </w:p>
    <w:p w:rsidR="008E1116" w:rsidRDefault="002351DB" w:rsidP="002351DB">
      <w:pPr>
        <w:jc w:val="center"/>
        <w:rPr>
          <w:rFonts w:ascii="Times New Roman" w:hAnsi="Times New Roman" w:cs="Times New Roman"/>
          <w:b/>
          <w:sz w:val="24"/>
          <w:szCs w:val="24"/>
        </w:rPr>
      </w:pPr>
      <w:r w:rsidRPr="002351DB">
        <w:rPr>
          <w:rFonts w:ascii="Times New Roman" w:hAnsi="Times New Roman" w:cs="Times New Roman"/>
          <w:b/>
          <w:sz w:val="24"/>
          <w:szCs w:val="24"/>
        </w:rPr>
        <w:t>Требования к гарантам</w:t>
      </w:r>
      <w:r w:rsidR="00CF1D6B">
        <w:rPr>
          <w:rFonts w:ascii="Times New Roman" w:hAnsi="Times New Roman" w:cs="Times New Roman"/>
          <w:b/>
          <w:sz w:val="24"/>
          <w:szCs w:val="24"/>
        </w:rPr>
        <w:t xml:space="preserve"> и поручителям</w:t>
      </w:r>
      <w:r w:rsidRPr="002351DB">
        <w:rPr>
          <w:rFonts w:ascii="Times New Roman" w:hAnsi="Times New Roman" w:cs="Times New Roman"/>
          <w:b/>
          <w:sz w:val="24"/>
          <w:szCs w:val="24"/>
        </w:rPr>
        <w:t>, предоставляющим финансовое обеспечение договорных обязательств</w:t>
      </w:r>
    </w:p>
    <w:p w:rsidR="00CF1D6B" w:rsidRPr="00CF1D6B" w:rsidRDefault="00CF1D6B" w:rsidP="00CF1D6B">
      <w:pPr>
        <w:jc w:val="center"/>
        <w:rPr>
          <w:rFonts w:ascii="Times New Roman" w:hAnsi="Times New Roman" w:cs="Times New Roman"/>
          <w:sz w:val="24"/>
          <w:szCs w:val="24"/>
        </w:rPr>
      </w:pPr>
      <w:r w:rsidRPr="00CF1D6B">
        <w:rPr>
          <w:rFonts w:ascii="Times New Roman" w:hAnsi="Times New Roman" w:cs="Times New Roman"/>
          <w:sz w:val="24"/>
          <w:szCs w:val="24"/>
        </w:rPr>
        <w:t>Требования к гарантам, предоставляющим финансовое обеспечение договорных обязательств</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 С целью снижения финансовых рисков </w:t>
      </w:r>
      <w:proofErr w:type="spellStart"/>
      <w:r w:rsidRPr="002351DB">
        <w:rPr>
          <w:rFonts w:ascii="Times New Roman" w:hAnsi="Times New Roman" w:cs="Times New Roman"/>
          <w:sz w:val="24"/>
          <w:szCs w:val="24"/>
        </w:rPr>
        <w:t>Госкорпорация</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xml:space="preserve">» и ее организации принимают от контрагентов банковские гарантии, выдаваемые банками, которые соответствуют перечисленным ниже требованиям, в рамках свободных лимитов, установленных на банки </w:t>
      </w:r>
      <w:proofErr w:type="spellStart"/>
      <w:r w:rsidRPr="002351DB">
        <w:rPr>
          <w:rFonts w:ascii="Times New Roman" w:hAnsi="Times New Roman" w:cs="Times New Roman"/>
          <w:sz w:val="24"/>
          <w:szCs w:val="24"/>
        </w:rPr>
        <w:t>Госкорпорацией</w:t>
      </w:r>
      <w:proofErr w:type="spellEnd"/>
      <w:r w:rsidRPr="002351DB">
        <w:rPr>
          <w:rFonts w:ascii="Times New Roman" w:hAnsi="Times New Roman" w:cs="Times New Roman"/>
          <w:sz w:val="24"/>
          <w:szCs w:val="24"/>
        </w:rPr>
        <w:t xml:space="preserve"> «</w:t>
      </w:r>
      <w:proofErr w:type="spellStart"/>
      <w:r w:rsidRPr="002351DB">
        <w:rPr>
          <w:rFonts w:ascii="Times New Roman" w:hAnsi="Times New Roman" w:cs="Times New Roman"/>
          <w:sz w:val="24"/>
          <w:szCs w:val="24"/>
        </w:rPr>
        <w:t>Росатом</w:t>
      </w:r>
      <w:proofErr w:type="spellEnd"/>
      <w:r w:rsidRPr="002351DB">
        <w:rPr>
          <w:rFonts w:ascii="Times New Roman" w:hAnsi="Times New Roman" w:cs="Times New Roman"/>
          <w:sz w:val="24"/>
          <w:szCs w:val="24"/>
        </w:rPr>
        <w:t>» и действующих на дату получения обеспечения:</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банк должен иметь лицензию Центрального банка Российской Федерации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разрешающей выдачу банковских гарантий;</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наличие в системе страхования вкладов (в случае если банковскую гарантию предоставляет российский банк);</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 величина собственного капитала на последнюю отчетную дату по публикуемой отчетности больше или равна 3 млрд. рублей или их эквиваленту в иностранной валюте.</w:t>
      </w:r>
    </w:p>
    <w:p w:rsidR="002351DB" w:rsidRPr="002351DB" w:rsidRDefault="002351DB" w:rsidP="002351DB">
      <w:pPr>
        <w:pStyle w:val="a3"/>
        <w:jc w:val="both"/>
        <w:rPr>
          <w:rFonts w:ascii="Times New Roman" w:hAnsi="Times New Roman" w:cs="Times New Roman"/>
          <w:sz w:val="24"/>
          <w:szCs w:val="24"/>
        </w:rPr>
      </w:pPr>
      <w:r w:rsidRPr="002351DB">
        <w:rPr>
          <w:rFonts w:ascii="Times New Roman" w:hAnsi="Times New Roman" w:cs="Times New Roman"/>
          <w:sz w:val="24"/>
          <w:szCs w:val="24"/>
        </w:rPr>
        <w:t>Не принимаются банковские гарантии, выдаваемые некоммерческими кредитными организациями и страховыми организациями.</w:t>
      </w:r>
    </w:p>
    <w:p w:rsidR="002351DB" w:rsidRPr="002351DB" w:rsidRDefault="002351DB" w:rsidP="002351DB">
      <w:pPr>
        <w:pStyle w:val="a3"/>
        <w:numPr>
          <w:ilvl w:val="0"/>
          <w:numId w:val="1"/>
        </w:numPr>
        <w:jc w:val="both"/>
        <w:rPr>
          <w:rFonts w:ascii="Times New Roman" w:hAnsi="Times New Roman" w:cs="Times New Roman"/>
          <w:sz w:val="24"/>
          <w:szCs w:val="24"/>
        </w:rPr>
      </w:pPr>
      <w:r w:rsidRPr="002351DB">
        <w:rPr>
          <w:rFonts w:ascii="Times New Roman" w:hAnsi="Times New Roman" w:cs="Times New Roman"/>
          <w:sz w:val="24"/>
          <w:szCs w:val="24"/>
        </w:rPr>
        <w:t xml:space="preserve">Резкие изменения численных параметров деятельности банка, информация о нарушениях банком обязательных нормативов Банка России (в случае если банковскую гарантию предоставляет российский банк)  или иного уполномоченного органа (в случае если банковскую гарантию предоставляет банк, созданный согласно праву иностранного государства), а также отсутствие в открытом доступе отчетности банка может служить основанием для отказа в приеме гарантии данного банка. </w:t>
      </w:r>
    </w:p>
    <w:p w:rsidR="008A01E9" w:rsidRDefault="008A01E9">
      <w:r>
        <w:br w:type="page"/>
      </w:r>
    </w:p>
    <w:p w:rsidR="008A01E9" w:rsidRPr="00CF1D6B" w:rsidRDefault="008A01E9" w:rsidP="008A01E9">
      <w:pPr>
        <w:jc w:val="center"/>
        <w:rPr>
          <w:rFonts w:ascii="Times New Roman" w:hAnsi="Times New Roman" w:cs="Times New Roman"/>
          <w:sz w:val="24"/>
          <w:szCs w:val="24"/>
        </w:rPr>
      </w:pPr>
      <w:r w:rsidRPr="00CF1D6B">
        <w:rPr>
          <w:rFonts w:ascii="Times New Roman" w:hAnsi="Times New Roman" w:cs="Times New Roman"/>
          <w:sz w:val="24"/>
          <w:szCs w:val="24"/>
        </w:rPr>
        <w:lastRenderedPageBreak/>
        <w:t xml:space="preserve">Требования к поручителям, предоставляющим финансовое обеспечение договорных обязательств </w:t>
      </w:r>
    </w:p>
    <w:p w:rsidR="008A01E9" w:rsidRDefault="008A01E9" w:rsidP="008A01E9">
      <w:pPr>
        <w:pStyle w:val="a3"/>
        <w:numPr>
          <w:ilvl w:val="0"/>
          <w:numId w:val="2"/>
        </w:numPr>
        <w:jc w:val="both"/>
        <w:rPr>
          <w:rFonts w:ascii="Times New Roman" w:hAnsi="Times New Roman" w:cs="Times New Roman"/>
          <w:sz w:val="24"/>
          <w:szCs w:val="24"/>
        </w:rPr>
      </w:pPr>
      <w:proofErr w:type="gramStart"/>
      <w:r>
        <w:rPr>
          <w:rFonts w:ascii="Times New Roman" w:hAnsi="Times New Roman" w:cs="Times New Roman"/>
          <w:sz w:val="24"/>
          <w:szCs w:val="24"/>
        </w:rPr>
        <w:t xml:space="preserve">Поручителями могут выступать лица (юридические лица, государство в лице органов власти государства, субъекты федерации, муниципальные образования и т.д.) с действующим долгосрочным кредитным рейтингом в иностранной или национальной валюте, присвоенным одним из международных рейтинговых агентств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sidRPr="001732FA">
        <w:rPr>
          <w:rFonts w:ascii="Times New Roman" w:hAnsi="Times New Roman" w:cs="Times New Roman"/>
          <w:sz w:val="24"/>
          <w:szCs w:val="24"/>
        </w:rPr>
        <w:t xml:space="preserve"> (</w:t>
      </w:r>
      <w:hyperlink r:id="rId5" w:history="1">
        <w:r w:rsidRPr="00AA119E">
          <w:rPr>
            <w:rStyle w:val="a4"/>
            <w:rFonts w:ascii="Times New Roman" w:hAnsi="Times New Roman" w:cs="Times New Roman"/>
            <w:sz w:val="24"/>
            <w:szCs w:val="24"/>
            <w:lang w:val="en-US"/>
          </w:rPr>
          <w:t>www</w:t>
        </w:r>
        <w:r w:rsidRPr="00AA119E">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standardandpoors</w:t>
        </w:r>
        <w:r w:rsidRPr="00AA119E">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com</w:t>
        </w:r>
      </w:hyperlink>
      <w:r w:rsidRPr="001732FA">
        <w:rPr>
          <w:rFonts w:ascii="Times New Roman" w:hAnsi="Times New Roman" w:cs="Times New Roman"/>
          <w:sz w:val="24"/>
          <w:szCs w:val="24"/>
        </w:rPr>
        <w:t>)</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Investors</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service</w:t>
      </w:r>
      <w:r w:rsidRPr="00396465">
        <w:rPr>
          <w:rFonts w:ascii="Times New Roman" w:hAnsi="Times New Roman" w:cs="Times New Roman"/>
          <w:sz w:val="24"/>
          <w:szCs w:val="24"/>
        </w:rPr>
        <w:t xml:space="preserve">, </w:t>
      </w:r>
      <w:r>
        <w:rPr>
          <w:rFonts w:ascii="Times New Roman" w:hAnsi="Times New Roman" w:cs="Times New Roman"/>
          <w:sz w:val="24"/>
          <w:szCs w:val="24"/>
          <w:lang w:val="en-US"/>
        </w:rPr>
        <w:t>Inc</w:t>
      </w:r>
      <w:r w:rsidRPr="00396465">
        <w:rPr>
          <w:rFonts w:ascii="Times New Roman" w:hAnsi="Times New Roman" w:cs="Times New Roman"/>
          <w:sz w:val="24"/>
          <w:szCs w:val="24"/>
        </w:rPr>
        <w:t xml:space="preserve">. </w:t>
      </w:r>
      <w:r w:rsidRPr="005D4E12">
        <w:rPr>
          <w:rFonts w:ascii="Times New Roman" w:hAnsi="Times New Roman" w:cs="Times New Roman"/>
          <w:sz w:val="24"/>
          <w:szCs w:val="24"/>
        </w:rPr>
        <w:t>(</w:t>
      </w:r>
      <w:hyperlink r:id="rId6" w:history="1">
        <w:r w:rsidRPr="00AA119E">
          <w:rPr>
            <w:rStyle w:val="a4"/>
            <w:rFonts w:ascii="Times New Roman" w:hAnsi="Times New Roman" w:cs="Times New Roman"/>
            <w:sz w:val="24"/>
            <w:szCs w:val="24"/>
            <w:lang w:val="en-US"/>
          </w:rPr>
          <w:t>www</w:t>
        </w:r>
        <w:r w:rsidRPr="005D4E12">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moodys</w:t>
        </w:r>
        <w:r w:rsidRPr="005D4E12">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com</w:t>
        </w:r>
      </w:hyperlink>
      <w:r w:rsidRPr="005D4E12">
        <w:rPr>
          <w:rFonts w:ascii="Times New Roman" w:hAnsi="Times New Roman" w:cs="Times New Roman"/>
          <w:sz w:val="24"/>
          <w:szCs w:val="24"/>
        </w:rPr>
        <w:t xml:space="preserve">) </w:t>
      </w:r>
      <w:r>
        <w:rPr>
          <w:rFonts w:ascii="Times New Roman" w:hAnsi="Times New Roman" w:cs="Times New Roman"/>
          <w:sz w:val="24"/>
          <w:szCs w:val="24"/>
        </w:rPr>
        <w:t>или</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Ltd</w:t>
      </w:r>
      <w:r w:rsidRPr="005D4E12">
        <w:rPr>
          <w:rFonts w:ascii="Times New Roman" w:hAnsi="Times New Roman" w:cs="Times New Roman"/>
          <w:sz w:val="24"/>
          <w:szCs w:val="24"/>
        </w:rPr>
        <w:t>. (</w:t>
      </w:r>
      <w:hyperlink r:id="rId7" w:history="1">
        <w:r w:rsidRPr="00AA119E">
          <w:rPr>
            <w:rStyle w:val="a4"/>
            <w:rFonts w:ascii="Times New Roman" w:hAnsi="Times New Roman" w:cs="Times New Roman"/>
            <w:sz w:val="24"/>
            <w:szCs w:val="24"/>
            <w:lang w:val="en-US"/>
          </w:rPr>
          <w:t>www</w:t>
        </w:r>
        <w:r w:rsidRPr="005D4E12">
          <w:rPr>
            <w:rStyle w:val="a4"/>
            <w:rFonts w:ascii="Times New Roman" w:hAnsi="Times New Roman" w:cs="Times New Roman"/>
            <w:sz w:val="24"/>
            <w:szCs w:val="24"/>
          </w:rPr>
          <w:t>.</w:t>
        </w:r>
        <w:proofErr w:type="spellStart"/>
        <w:r w:rsidRPr="00AA119E">
          <w:rPr>
            <w:rStyle w:val="a4"/>
            <w:rFonts w:ascii="Times New Roman" w:hAnsi="Times New Roman" w:cs="Times New Roman"/>
            <w:sz w:val="24"/>
            <w:szCs w:val="24"/>
            <w:lang w:val="en-US"/>
          </w:rPr>
          <w:t>fitchratings</w:t>
        </w:r>
        <w:proofErr w:type="spellEnd"/>
        <w:r w:rsidRPr="005D4E12">
          <w:rPr>
            <w:rStyle w:val="a4"/>
            <w:rFonts w:ascii="Times New Roman" w:hAnsi="Times New Roman" w:cs="Times New Roman"/>
            <w:sz w:val="24"/>
            <w:szCs w:val="24"/>
          </w:rPr>
          <w:t>.</w:t>
        </w:r>
        <w:r w:rsidRPr="00AA119E">
          <w:rPr>
            <w:rStyle w:val="a4"/>
            <w:rFonts w:ascii="Times New Roman" w:hAnsi="Times New Roman" w:cs="Times New Roman"/>
            <w:sz w:val="24"/>
            <w:szCs w:val="24"/>
            <w:lang w:val="en-US"/>
          </w:rPr>
          <w:t>com</w:t>
        </w:r>
      </w:hyperlink>
      <w:r w:rsidRPr="005D4E12">
        <w:rPr>
          <w:rFonts w:ascii="Times New Roman" w:hAnsi="Times New Roman" w:cs="Times New Roman"/>
          <w:sz w:val="24"/>
          <w:szCs w:val="24"/>
        </w:rPr>
        <w:t xml:space="preserve">) </w:t>
      </w:r>
      <w:r>
        <w:rPr>
          <w:rFonts w:ascii="Times New Roman" w:hAnsi="Times New Roman" w:cs="Times New Roman"/>
          <w:sz w:val="24"/>
          <w:szCs w:val="24"/>
        </w:rPr>
        <w:t>на уровне не ниже</w:t>
      </w:r>
      <w:proofErr w:type="gramEnd"/>
      <w:r>
        <w:rPr>
          <w:rFonts w:ascii="Times New Roman" w:hAnsi="Times New Roman" w:cs="Times New Roman"/>
          <w:sz w:val="24"/>
          <w:szCs w:val="24"/>
        </w:rPr>
        <w:t xml:space="preserve"> «ВВВ» по шкале </w:t>
      </w:r>
      <w:proofErr w:type="spellStart"/>
      <w:r>
        <w:rPr>
          <w:rFonts w:ascii="Times New Roman" w:hAnsi="Times New Roman" w:cs="Times New Roman"/>
          <w:sz w:val="24"/>
          <w:szCs w:val="24"/>
          <w:lang w:val="en-US"/>
        </w:rPr>
        <w:t>Standart</w:t>
      </w:r>
      <w:proofErr w:type="spellEnd"/>
      <w:r w:rsidRPr="001732FA">
        <w:rPr>
          <w:rFonts w:ascii="Times New Roman" w:hAnsi="Times New Roman" w:cs="Times New Roman"/>
          <w:sz w:val="24"/>
          <w:szCs w:val="24"/>
        </w:rPr>
        <w:t xml:space="preserve"> &amp; </w:t>
      </w:r>
      <w:r>
        <w:rPr>
          <w:rFonts w:ascii="Times New Roman" w:hAnsi="Times New Roman" w:cs="Times New Roman"/>
          <w:sz w:val="24"/>
          <w:szCs w:val="24"/>
          <w:lang w:val="en-US"/>
        </w:rPr>
        <w:t>Poor</w:t>
      </w:r>
      <w:r w:rsidRPr="001732FA">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и </w:t>
      </w:r>
      <w:r>
        <w:rPr>
          <w:rFonts w:ascii="Times New Roman" w:hAnsi="Times New Roman" w:cs="Times New Roman"/>
          <w:sz w:val="24"/>
          <w:szCs w:val="24"/>
          <w:lang w:val="en-US"/>
        </w:rPr>
        <w:t>Fitch</w:t>
      </w:r>
      <w:r w:rsidRPr="005D4E12">
        <w:rPr>
          <w:rFonts w:ascii="Times New Roman" w:hAnsi="Times New Roman" w:cs="Times New Roman"/>
          <w:sz w:val="24"/>
          <w:szCs w:val="24"/>
        </w:rPr>
        <w:t xml:space="preserve"> </w:t>
      </w:r>
      <w:r>
        <w:rPr>
          <w:rFonts w:ascii="Times New Roman" w:hAnsi="Times New Roman" w:cs="Times New Roman"/>
          <w:sz w:val="24"/>
          <w:szCs w:val="24"/>
          <w:lang w:val="en-US"/>
        </w:rPr>
        <w:t>Ratings</w:t>
      </w:r>
      <w:r>
        <w:rPr>
          <w:rFonts w:ascii="Times New Roman" w:hAnsi="Times New Roman" w:cs="Times New Roman"/>
          <w:sz w:val="24"/>
          <w:szCs w:val="24"/>
        </w:rPr>
        <w:t xml:space="preserve"> или не ниже «Ваа</w:t>
      </w:r>
      <w:proofErr w:type="gramStart"/>
      <w:r>
        <w:rPr>
          <w:rFonts w:ascii="Times New Roman" w:hAnsi="Times New Roman" w:cs="Times New Roman"/>
          <w:sz w:val="24"/>
          <w:szCs w:val="24"/>
        </w:rPr>
        <w:t>2</w:t>
      </w:r>
      <w:proofErr w:type="gramEnd"/>
      <w:r>
        <w:rPr>
          <w:rFonts w:ascii="Times New Roman" w:hAnsi="Times New Roman" w:cs="Times New Roman"/>
          <w:sz w:val="24"/>
          <w:szCs w:val="24"/>
        </w:rPr>
        <w:t xml:space="preserve">» по шкале </w:t>
      </w:r>
      <w:r>
        <w:rPr>
          <w:rFonts w:ascii="Times New Roman" w:hAnsi="Times New Roman" w:cs="Times New Roman"/>
          <w:sz w:val="24"/>
          <w:szCs w:val="24"/>
          <w:lang w:val="en-US"/>
        </w:rPr>
        <w:t>Moody</w:t>
      </w:r>
      <w:r w:rsidRPr="00396465">
        <w:rPr>
          <w:rFonts w:ascii="Times New Roman" w:hAnsi="Times New Roman" w:cs="Times New Roman"/>
          <w:sz w:val="24"/>
          <w:szCs w:val="24"/>
        </w:rPr>
        <w:t>`</w:t>
      </w:r>
      <w:r>
        <w:rPr>
          <w:rFonts w:ascii="Times New Roman" w:hAnsi="Times New Roman" w:cs="Times New Roman"/>
          <w:sz w:val="24"/>
          <w:szCs w:val="24"/>
          <w:lang w:val="en-US"/>
        </w:rPr>
        <w:t>s</w:t>
      </w:r>
      <w:r>
        <w:rPr>
          <w:rFonts w:ascii="Times New Roman" w:hAnsi="Times New Roman" w:cs="Times New Roman"/>
          <w:sz w:val="24"/>
          <w:szCs w:val="24"/>
        </w:rPr>
        <w:t xml:space="preserve">. Указанные рейтинги должны быть действительными и не должны </w:t>
      </w:r>
      <w:proofErr w:type="gramStart"/>
      <w:r>
        <w:rPr>
          <w:rFonts w:ascii="Times New Roman" w:hAnsi="Times New Roman" w:cs="Times New Roman"/>
          <w:sz w:val="24"/>
          <w:szCs w:val="24"/>
        </w:rPr>
        <w:t>находится</w:t>
      </w:r>
      <w:proofErr w:type="gramEnd"/>
      <w:r>
        <w:rPr>
          <w:rFonts w:ascii="Times New Roman" w:hAnsi="Times New Roman" w:cs="Times New Roman"/>
          <w:sz w:val="24"/>
          <w:szCs w:val="24"/>
        </w:rPr>
        <w:t xml:space="preserve"> в состоянии «отозван» или «приостановлен».</w:t>
      </w:r>
    </w:p>
    <w:p w:rsidR="008A01E9"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налич</w:t>
      </w:r>
      <w:proofErr w:type="gramStart"/>
      <w:r>
        <w:rPr>
          <w:rFonts w:ascii="Times New Roman" w:hAnsi="Times New Roman" w:cs="Times New Roman"/>
          <w:sz w:val="24"/>
          <w:szCs w:val="24"/>
        </w:rPr>
        <w:t>ии у о</w:t>
      </w:r>
      <w:proofErr w:type="gramEnd"/>
      <w:r>
        <w:rPr>
          <w:rFonts w:ascii="Times New Roman" w:hAnsi="Times New Roman" w:cs="Times New Roman"/>
          <w:sz w:val="24"/>
          <w:szCs w:val="24"/>
        </w:rPr>
        <w:t>дного поручителя рейтингов от двух и более рейтинговых агентств в целях расчета принимается более высокий из рейтингов, присвоенный указанными рейтинговыми агентствами.</w:t>
      </w:r>
    </w:p>
    <w:p w:rsidR="008A01E9" w:rsidRPr="005D4E12" w:rsidRDefault="008A01E9" w:rsidP="008A01E9">
      <w:pPr>
        <w:pStyle w:val="a3"/>
        <w:numPr>
          <w:ilvl w:val="0"/>
          <w:numId w:val="2"/>
        </w:numPr>
        <w:jc w:val="both"/>
        <w:rPr>
          <w:rFonts w:ascii="Times New Roman" w:hAnsi="Times New Roman" w:cs="Times New Roman"/>
          <w:sz w:val="24"/>
          <w:szCs w:val="24"/>
        </w:rPr>
      </w:pPr>
      <w:r>
        <w:rPr>
          <w:rFonts w:ascii="Times New Roman" w:hAnsi="Times New Roman" w:cs="Times New Roman"/>
          <w:sz w:val="24"/>
          <w:szCs w:val="24"/>
        </w:rPr>
        <w:t>При различном уровне кредитного рейтинга у одного поручителя в национальной и иностранной валюте в целях расчета принимается более высокий из рейтингов, присвоенный данным рейтинговым агентством.</w:t>
      </w:r>
    </w:p>
    <w:p w:rsidR="002351DB" w:rsidRDefault="002351DB"/>
    <w:sectPr w:rsidR="002351DB" w:rsidSect="00DF7E3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B6614E"/>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5F4D02"/>
    <w:multiLevelType w:val="hybridMultilevel"/>
    <w:tmpl w:val="9B56D1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2351DB"/>
    <w:rsid w:val="0014240D"/>
    <w:rsid w:val="002351DB"/>
    <w:rsid w:val="005423DD"/>
    <w:rsid w:val="005E64D6"/>
    <w:rsid w:val="008A01E9"/>
    <w:rsid w:val="00B23FEF"/>
    <w:rsid w:val="00BC46C2"/>
    <w:rsid w:val="00CF1D6B"/>
    <w:rsid w:val="00DF7E3A"/>
    <w:rsid w:val="00E5485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F7E3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351DB"/>
    <w:pPr>
      <w:ind w:left="720"/>
      <w:contextualSpacing/>
    </w:pPr>
  </w:style>
  <w:style w:type="character" w:styleId="a4">
    <w:name w:val="Hyperlink"/>
    <w:basedOn w:val="a0"/>
    <w:uiPriority w:val="99"/>
    <w:unhideWhenUsed/>
    <w:rsid w:val="008A01E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fitchratings.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odys.com" TargetMode="External"/><Relationship Id="rId5" Type="http://schemas.openxmlformats.org/officeDocument/2006/relationships/hyperlink" Target="http://www.standardandpoors.co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441</Words>
  <Characters>2514</Characters>
  <Application>Microsoft Office Word</Application>
  <DocSecurity>0</DocSecurity>
  <Lines>20</Lines>
  <Paragraphs>5</Paragraphs>
  <ScaleCrop>false</ScaleCrop>
  <Company/>
  <LinksUpToDate>false</LinksUpToDate>
  <CharactersWithSpaces>2950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darovskih</dc:creator>
  <cp:lastModifiedBy>zherebtsov_aa</cp:lastModifiedBy>
  <cp:revision>4</cp:revision>
  <dcterms:created xsi:type="dcterms:W3CDTF">2012-10-17T05:43:00Z</dcterms:created>
  <dcterms:modified xsi:type="dcterms:W3CDTF">2013-01-29T05:36:00Z</dcterms:modified>
</cp:coreProperties>
</file>